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34" w:rsidRDefault="00FF7A34" w:rsidP="00FF7A34">
      <w:pPr>
        <w:spacing w:after="0" w:line="360" w:lineRule="auto"/>
        <w:ind w:firstLine="720"/>
        <w:jc w:val="center"/>
        <w:rPr>
          <w:sz w:val="28"/>
          <w:szCs w:val="28"/>
        </w:rPr>
      </w:pPr>
      <w:r w:rsidRPr="00FF7A34">
        <w:rPr>
          <w:sz w:val="28"/>
          <w:szCs w:val="28"/>
        </w:rPr>
        <w:t>Cecil Armstrong Gibbs</w:t>
      </w:r>
    </w:p>
    <w:p w:rsidR="00FF7A34" w:rsidRDefault="00FF7A34" w:rsidP="00FF7A34">
      <w:pPr>
        <w:spacing w:after="0" w:line="360" w:lineRule="auto"/>
        <w:ind w:firstLine="720"/>
        <w:jc w:val="center"/>
        <w:rPr>
          <w:sz w:val="32"/>
          <w:szCs w:val="32"/>
        </w:rPr>
      </w:pPr>
      <w:r w:rsidRPr="00FF7A34">
        <w:rPr>
          <w:i/>
          <w:sz w:val="32"/>
          <w:szCs w:val="32"/>
        </w:rPr>
        <w:t xml:space="preserve">Crossings Suite for Orchestra, </w:t>
      </w:r>
      <w:r w:rsidRPr="00FF7A34">
        <w:rPr>
          <w:sz w:val="32"/>
          <w:szCs w:val="32"/>
        </w:rPr>
        <w:t>Op. 20 (1919)</w:t>
      </w:r>
    </w:p>
    <w:p w:rsidR="00FF7A34" w:rsidRPr="00FF7A34" w:rsidRDefault="00E72023" w:rsidP="00FF7A34">
      <w:pPr>
        <w:spacing w:after="0" w:line="360" w:lineRule="auto"/>
        <w:ind w:firstLine="720"/>
        <w:jc w:val="center"/>
        <w:rPr>
          <w:sz w:val="32"/>
          <w:szCs w:val="32"/>
        </w:rPr>
      </w:pPr>
      <w:r>
        <w:rPr>
          <w:sz w:val="32"/>
          <w:szCs w:val="32"/>
        </w:rPr>
        <w:t xml:space="preserve"> </w:t>
      </w:r>
    </w:p>
    <w:p w:rsidR="0021664F" w:rsidRDefault="0021664F" w:rsidP="0021664F">
      <w:pPr>
        <w:spacing w:after="0" w:line="360" w:lineRule="auto"/>
        <w:ind w:firstLine="720"/>
        <w:rPr>
          <w:sz w:val="24"/>
          <w:szCs w:val="24"/>
        </w:rPr>
      </w:pPr>
      <w:r>
        <w:rPr>
          <w:sz w:val="24"/>
          <w:szCs w:val="24"/>
        </w:rPr>
        <w:t xml:space="preserve">Similar to W S Lloyd Webber, Cecil Armstrong Gibbs lived to see his music go mainly out of fashion.  It was sustained, particularly after his death in 1960, through amateur performances of such genres as his songs and part-songs in local music festivals, organists playing his </w:t>
      </w:r>
      <w:r>
        <w:rPr>
          <w:i/>
          <w:sz w:val="24"/>
          <w:szCs w:val="24"/>
        </w:rPr>
        <w:t xml:space="preserve">Six Sketches </w:t>
      </w:r>
      <w:r>
        <w:rPr>
          <w:sz w:val="24"/>
          <w:szCs w:val="24"/>
        </w:rPr>
        <w:t xml:space="preserve">(Books 1 and 2), and church choirs singing such pieces as </w:t>
      </w:r>
      <w:r>
        <w:rPr>
          <w:i/>
          <w:sz w:val="24"/>
          <w:szCs w:val="24"/>
        </w:rPr>
        <w:t>Most Glorious Lord of Life</w:t>
      </w:r>
      <w:r>
        <w:rPr>
          <w:sz w:val="24"/>
          <w:szCs w:val="24"/>
        </w:rPr>
        <w:t>.</w:t>
      </w:r>
    </w:p>
    <w:p w:rsidR="0021664F" w:rsidRDefault="0021664F" w:rsidP="0021664F">
      <w:pPr>
        <w:spacing w:after="0" w:line="360" w:lineRule="auto"/>
        <w:ind w:firstLine="720"/>
        <w:rPr>
          <w:sz w:val="24"/>
          <w:szCs w:val="24"/>
        </w:rPr>
      </w:pPr>
      <w:r>
        <w:rPr>
          <w:sz w:val="24"/>
          <w:szCs w:val="24"/>
        </w:rPr>
        <w:t>Armstrong Gibbs has tended to be remembered as a composer of songs, primarily for his setti</w:t>
      </w:r>
      <w:r w:rsidR="005F0FEA">
        <w:rPr>
          <w:sz w:val="24"/>
          <w:szCs w:val="24"/>
        </w:rPr>
        <w:t xml:space="preserve">ngs of the poems by </w:t>
      </w:r>
      <w:r>
        <w:rPr>
          <w:sz w:val="24"/>
          <w:szCs w:val="24"/>
        </w:rPr>
        <w:t>Walter de la Mare.  The musical world changed, trying (</w:t>
      </w:r>
      <w:proofErr w:type="gramStart"/>
      <w:r>
        <w:rPr>
          <w:sz w:val="24"/>
          <w:szCs w:val="24"/>
        </w:rPr>
        <w:t>unnecessarily</w:t>
      </w:r>
      <w:proofErr w:type="gramEnd"/>
      <w:r>
        <w:rPr>
          <w:sz w:val="24"/>
          <w:szCs w:val="24"/>
        </w:rPr>
        <w:t xml:space="preserve"> so) to keep in line with European ideas.  Happily, like Robin Milford, the tide has now turned and Armstrong Gibbs is now being recognised as a primary figure with</w:t>
      </w:r>
      <w:r w:rsidR="00C7403E">
        <w:rPr>
          <w:sz w:val="24"/>
          <w:szCs w:val="24"/>
        </w:rPr>
        <w:t>in</w:t>
      </w:r>
      <w:r>
        <w:rPr>
          <w:sz w:val="24"/>
          <w:szCs w:val="24"/>
        </w:rPr>
        <w:t xml:space="preserve"> the ‘lesser-known British composers of the early twentieth century”.</w:t>
      </w:r>
    </w:p>
    <w:p w:rsidR="0021664F" w:rsidRDefault="0021664F" w:rsidP="0021664F">
      <w:pPr>
        <w:spacing w:after="0" w:line="360" w:lineRule="auto"/>
        <w:ind w:firstLine="720"/>
        <w:rPr>
          <w:sz w:val="24"/>
          <w:szCs w:val="24"/>
        </w:rPr>
      </w:pPr>
      <w:r>
        <w:rPr>
          <w:sz w:val="24"/>
          <w:szCs w:val="24"/>
        </w:rPr>
        <w:t>Armstrong Gibbs first came to the attention of the musical public and establishment while teaching at The Wick School.  In 191</w:t>
      </w:r>
      <w:r w:rsidR="00C7403E">
        <w:rPr>
          <w:sz w:val="24"/>
          <w:szCs w:val="24"/>
        </w:rPr>
        <w:t>9 he was involved in arranging</w:t>
      </w:r>
      <w:r>
        <w:rPr>
          <w:sz w:val="24"/>
          <w:szCs w:val="24"/>
        </w:rPr>
        <w:t xml:space="preserve"> a celebration for retirement of the then headmaster, Lawrence </w:t>
      </w:r>
      <w:proofErr w:type="spellStart"/>
      <w:r>
        <w:rPr>
          <w:sz w:val="24"/>
          <w:szCs w:val="24"/>
        </w:rPr>
        <w:t>Thring</w:t>
      </w:r>
      <w:proofErr w:type="spellEnd"/>
      <w:r>
        <w:rPr>
          <w:sz w:val="24"/>
          <w:szCs w:val="24"/>
        </w:rPr>
        <w:t xml:space="preserve">.  The composer commissioned a children’s play from Walter de la Mare whose poetry he greatly admired and with whom he was slightly acquainted.  Indeed, de la Mare had </w:t>
      </w:r>
      <w:r w:rsidR="005F0FEA">
        <w:rPr>
          <w:sz w:val="24"/>
          <w:szCs w:val="24"/>
        </w:rPr>
        <w:t xml:space="preserve">earlier </w:t>
      </w:r>
      <w:r>
        <w:rPr>
          <w:sz w:val="24"/>
          <w:szCs w:val="24"/>
        </w:rPr>
        <w:t xml:space="preserve">approved of some </w:t>
      </w:r>
      <w:r w:rsidR="00C7403E">
        <w:rPr>
          <w:sz w:val="24"/>
          <w:szCs w:val="24"/>
        </w:rPr>
        <w:t>early Gibb’s</w:t>
      </w:r>
      <w:r>
        <w:rPr>
          <w:sz w:val="24"/>
          <w:szCs w:val="24"/>
        </w:rPr>
        <w:t xml:space="preserve"> settings of his poems.  Within a couple of months, de la Mare produced a play entitled </w:t>
      </w:r>
      <w:r>
        <w:rPr>
          <w:i/>
          <w:sz w:val="24"/>
          <w:szCs w:val="24"/>
        </w:rPr>
        <w:t>Crossings</w:t>
      </w:r>
      <w:r>
        <w:rPr>
          <w:sz w:val="24"/>
          <w:szCs w:val="24"/>
        </w:rPr>
        <w:t xml:space="preserve"> and Gibbs duly set about writing the music.  This magical play concerns four children who are left alone in a romantic mansion (‘Crossings’) to fend for themselves just before Christmas.  It was subtitled ‘A Fairy Play’, in five scenes, and a</w:t>
      </w:r>
      <w:r w:rsidR="005F0FEA">
        <w:rPr>
          <w:sz w:val="24"/>
          <w:szCs w:val="24"/>
        </w:rPr>
        <w:t>part from the children, involves</w:t>
      </w:r>
      <w:r>
        <w:rPr>
          <w:sz w:val="24"/>
          <w:szCs w:val="24"/>
        </w:rPr>
        <w:t xml:space="preserve"> various grown-ups, fairies and a pedlar, as shown below:</w:t>
      </w:r>
    </w:p>
    <w:p w:rsidR="0021664F" w:rsidRDefault="0021664F" w:rsidP="0021664F">
      <w:pPr>
        <w:spacing w:after="0" w:line="360" w:lineRule="auto"/>
        <w:rPr>
          <w:sz w:val="24"/>
          <w:szCs w:val="24"/>
        </w:rPr>
      </w:pPr>
    </w:p>
    <w:p w:rsidR="0021664F" w:rsidRPr="001F6F38" w:rsidRDefault="0021664F" w:rsidP="0021664F">
      <w:pPr>
        <w:spacing w:after="0" w:line="360" w:lineRule="auto"/>
        <w:rPr>
          <w:sz w:val="24"/>
          <w:szCs w:val="24"/>
        </w:rPr>
      </w:pPr>
      <w:r>
        <w:rPr>
          <w:noProof/>
          <w:sz w:val="24"/>
          <w:szCs w:val="24"/>
          <w:lang w:eastAsia="en-GB"/>
        </w:rPr>
        <w:lastRenderedPageBreak/>
        <w:drawing>
          <wp:inline distT="0" distB="0" distL="0" distR="0">
            <wp:extent cx="5731510" cy="7417248"/>
            <wp:effectExtent l="19050" t="0" r="2540" b="0"/>
            <wp:docPr id="5" name="Picture 5" descr="C:\Users\pdhun\Desktop\GIBB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dhun\Desktop\GIBBS 1.jpg"/>
                    <pic:cNvPicPr>
                      <a:picLocks noChangeAspect="1" noChangeArrowheads="1"/>
                    </pic:cNvPicPr>
                  </pic:nvPicPr>
                  <pic:blipFill>
                    <a:blip r:embed="rId7" cstate="print"/>
                    <a:srcRect/>
                    <a:stretch>
                      <a:fillRect/>
                    </a:stretch>
                  </pic:blipFill>
                  <pic:spPr bwMode="auto">
                    <a:xfrm>
                      <a:off x="0" y="0"/>
                      <a:ext cx="5731510" cy="7417248"/>
                    </a:xfrm>
                    <a:prstGeom prst="rect">
                      <a:avLst/>
                    </a:prstGeom>
                    <a:noFill/>
                    <a:ln w="9525">
                      <a:noFill/>
                      <a:miter lim="800000"/>
                      <a:headEnd/>
                      <a:tailEnd/>
                    </a:ln>
                  </pic:spPr>
                </pic:pic>
              </a:graphicData>
            </a:graphic>
          </wp:inline>
        </w:drawing>
      </w:r>
    </w:p>
    <w:p w:rsidR="0021664F" w:rsidRDefault="0021664F" w:rsidP="0021664F">
      <w:pPr>
        <w:spacing w:after="0" w:line="360" w:lineRule="auto"/>
        <w:ind w:firstLine="720"/>
        <w:rPr>
          <w:sz w:val="24"/>
          <w:szCs w:val="24"/>
        </w:rPr>
      </w:pPr>
    </w:p>
    <w:p w:rsidR="0021664F" w:rsidRDefault="0021664F" w:rsidP="0021664F">
      <w:pPr>
        <w:spacing w:after="0" w:line="360" w:lineRule="auto"/>
        <w:ind w:firstLine="720"/>
        <w:rPr>
          <w:sz w:val="24"/>
          <w:szCs w:val="24"/>
        </w:rPr>
      </w:pPr>
    </w:p>
    <w:p w:rsidR="0021664F" w:rsidRDefault="0021664F" w:rsidP="0021664F">
      <w:pPr>
        <w:spacing w:after="0" w:line="360" w:lineRule="auto"/>
        <w:ind w:firstLine="720"/>
        <w:rPr>
          <w:sz w:val="24"/>
          <w:szCs w:val="24"/>
        </w:rPr>
      </w:pPr>
    </w:p>
    <w:p w:rsidR="0021664F" w:rsidRDefault="0021664F" w:rsidP="0021664F">
      <w:pPr>
        <w:spacing w:after="0" w:line="360" w:lineRule="auto"/>
        <w:ind w:firstLine="720"/>
        <w:rPr>
          <w:sz w:val="24"/>
          <w:szCs w:val="24"/>
        </w:rPr>
      </w:pPr>
    </w:p>
    <w:p w:rsidR="0021664F" w:rsidRDefault="0021664F" w:rsidP="0021664F">
      <w:pPr>
        <w:spacing w:after="0" w:line="360" w:lineRule="auto"/>
        <w:rPr>
          <w:noProof/>
          <w:sz w:val="24"/>
          <w:szCs w:val="24"/>
          <w:lang w:eastAsia="en-GB"/>
        </w:rPr>
      </w:pPr>
    </w:p>
    <w:p w:rsidR="0021664F" w:rsidRDefault="0021664F" w:rsidP="0021664F">
      <w:pPr>
        <w:spacing w:after="0" w:line="360" w:lineRule="auto"/>
        <w:ind w:firstLine="720"/>
        <w:rPr>
          <w:noProof/>
          <w:sz w:val="24"/>
          <w:szCs w:val="24"/>
          <w:lang w:eastAsia="en-GB"/>
        </w:rPr>
      </w:pPr>
      <w:r>
        <w:rPr>
          <w:noProof/>
          <w:sz w:val="24"/>
          <w:szCs w:val="24"/>
          <w:lang w:eastAsia="en-GB"/>
        </w:rPr>
        <w:lastRenderedPageBreak/>
        <w:drawing>
          <wp:inline distT="0" distB="0" distL="0" distR="0">
            <wp:extent cx="5731510" cy="7417248"/>
            <wp:effectExtent l="19050" t="0" r="2540" b="0"/>
            <wp:docPr id="2" name="Picture 1" descr="C:\Users\pdhun\Desktop\GIBB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hun\Desktop\GIBBS 2.jpg"/>
                    <pic:cNvPicPr>
                      <a:picLocks noChangeAspect="1" noChangeArrowheads="1"/>
                    </pic:cNvPicPr>
                  </pic:nvPicPr>
                  <pic:blipFill>
                    <a:blip r:embed="rId8"/>
                    <a:srcRect/>
                    <a:stretch>
                      <a:fillRect/>
                    </a:stretch>
                  </pic:blipFill>
                  <pic:spPr bwMode="auto">
                    <a:xfrm>
                      <a:off x="0" y="0"/>
                      <a:ext cx="5731510" cy="7417248"/>
                    </a:xfrm>
                    <a:prstGeom prst="rect">
                      <a:avLst/>
                    </a:prstGeom>
                    <a:noFill/>
                    <a:ln w="9525">
                      <a:noFill/>
                      <a:miter lim="800000"/>
                      <a:headEnd/>
                      <a:tailEnd/>
                    </a:ln>
                  </pic:spPr>
                </pic:pic>
              </a:graphicData>
            </a:graphic>
          </wp:inline>
        </w:drawing>
      </w:r>
    </w:p>
    <w:p w:rsidR="0021664F" w:rsidRDefault="0021664F" w:rsidP="0021664F">
      <w:pPr>
        <w:spacing w:after="0" w:line="360" w:lineRule="auto"/>
        <w:ind w:firstLine="720"/>
        <w:rPr>
          <w:noProof/>
          <w:sz w:val="24"/>
          <w:szCs w:val="24"/>
          <w:lang w:eastAsia="en-GB"/>
        </w:rPr>
      </w:pPr>
    </w:p>
    <w:p w:rsidR="0021664F" w:rsidRDefault="0021664F" w:rsidP="0021664F">
      <w:pPr>
        <w:spacing w:after="0" w:line="360" w:lineRule="auto"/>
        <w:ind w:firstLine="720"/>
        <w:rPr>
          <w:noProof/>
          <w:sz w:val="24"/>
          <w:szCs w:val="24"/>
          <w:lang w:eastAsia="en-GB"/>
        </w:rPr>
      </w:pPr>
      <w:r>
        <w:rPr>
          <w:noProof/>
          <w:sz w:val="24"/>
          <w:szCs w:val="24"/>
          <w:lang w:eastAsia="en-GB"/>
        </w:rPr>
        <w:t>A young man named Ardian Boult conducted the work and was so impressed by Gibb’s music that he paid for the composer to study composition at the Royal College of music.  The work was then performed, at a later date, in the Queen’s Hall.</w:t>
      </w:r>
    </w:p>
    <w:p w:rsidR="0021664F" w:rsidRDefault="0021664F" w:rsidP="0021664F">
      <w:pPr>
        <w:spacing w:after="0" w:line="360" w:lineRule="auto"/>
        <w:ind w:firstLine="720"/>
        <w:rPr>
          <w:noProof/>
          <w:sz w:val="24"/>
          <w:szCs w:val="24"/>
          <w:lang w:eastAsia="en-GB"/>
        </w:rPr>
      </w:pPr>
      <w:r>
        <w:rPr>
          <w:noProof/>
          <w:sz w:val="24"/>
          <w:szCs w:val="24"/>
          <w:lang w:eastAsia="en-GB"/>
        </w:rPr>
        <w:lastRenderedPageBreak/>
        <w:t xml:space="preserve">Lewis Foreman writes, “Gibb’s music and its treatment surely reflects two notable children’s stage play of the time – </w:t>
      </w:r>
      <w:r>
        <w:rPr>
          <w:i/>
          <w:noProof/>
          <w:sz w:val="24"/>
          <w:szCs w:val="24"/>
          <w:lang w:eastAsia="en-GB"/>
        </w:rPr>
        <w:t xml:space="preserve">Peter Pan </w:t>
      </w:r>
      <w:r>
        <w:rPr>
          <w:noProof/>
          <w:sz w:val="24"/>
          <w:szCs w:val="24"/>
          <w:lang w:eastAsia="en-GB"/>
        </w:rPr>
        <w:t xml:space="preserve">and even more so Elgar’s </w:t>
      </w:r>
      <w:r>
        <w:rPr>
          <w:i/>
          <w:noProof/>
          <w:sz w:val="24"/>
          <w:szCs w:val="24"/>
          <w:lang w:eastAsia="en-GB"/>
        </w:rPr>
        <w:t xml:space="preserve">Starlight Express, </w:t>
      </w:r>
      <w:r>
        <w:rPr>
          <w:noProof/>
          <w:sz w:val="24"/>
          <w:szCs w:val="24"/>
          <w:lang w:eastAsia="en-GB"/>
        </w:rPr>
        <w:t>which had been seen i</w:t>
      </w:r>
      <w:r w:rsidR="007145B8">
        <w:rPr>
          <w:noProof/>
          <w:sz w:val="24"/>
          <w:szCs w:val="24"/>
          <w:lang w:eastAsia="en-GB"/>
        </w:rPr>
        <w:t>n 1915</w:t>
      </w:r>
      <w:r w:rsidR="004622B1">
        <w:rPr>
          <w:noProof/>
          <w:sz w:val="24"/>
          <w:szCs w:val="24"/>
          <w:lang w:eastAsia="en-GB"/>
        </w:rPr>
        <w:t>”</w:t>
      </w:r>
      <w:r w:rsidR="004622B1">
        <w:rPr>
          <w:rStyle w:val="FootnoteReference"/>
          <w:noProof/>
          <w:sz w:val="24"/>
          <w:szCs w:val="24"/>
          <w:lang w:eastAsia="en-GB"/>
        </w:rPr>
        <w:footnoteReference w:id="2"/>
      </w:r>
      <w:r w:rsidR="007145B8">
        <w:rPr>
          <w:noProof/>
          <w:sz w:val="24"/>
          <w:szCs w:val="24"/>
          <w:lang w:eastAsia="en-GB"/>
        </w:rPr>
        <w:t>.  However, Gibb’s melodies</w:t>
      </w:r>
      <w:r>
        <w:rPr>
          <w:noProof/>
          <w:sz w:val="24"/>
          <w:szCs w:val="24"/>
          <w:lang w:eastAsia="en-GB"/>
        </w:rPr>
        <w:t xml:space="preserve"> and rhythms, and use of solo instruments</w:t>
      </w:r>
      <w:r w:rsidR="007145B8">
        <w:rPr>
          <w:noProof/>
          <w:sz w:val="24"/>
          <w:szCs w:val="24"/>
          <w:lang w:eastAsia="en-GB"/>
        </w:rPr>
        <w:t>,</w:t>
      </w:r>
      <w:r>
        <w:rPr>
          <w:noProof/>
          <w:sz w:val="24"/>
          <w:szCs w:val="24"/>
          <w:lang w:eastAsia="en-GB"/>
        </w:rPr>
        <w:t xml:space="preserve"> are perhaps more daring, even looking forward to the score of Blake’s score of </w:t>
      </w:r>
      <w:r>
        <w:rPr>
          <w:i/>
          <w:noProof/>
          <w:sz w:val="24"/>
          <w:szCs w:val="24"/>
          <w:lang w:eastAsia="en-GB"/>
        </w:rPr>
        <w:t>The Snowman</w:t>
      </w:r>
      <w:r>
        <w:rPr>
          <w:noProof/>
          <w:sz w:val="24"/>
          <w:szCs w:val="24"/>
          <w:lang w:eastAsia="en-GB"/>
        </w:rPr>
        <w:t>.</w:t>
      </w:r>
    </w:p>
    <w:p w:rsidR="0021664F" w:rsidRPr="0021664F" w:rsidRDefault="0021664F" w:rsidP="0021664F">
      <w:pPr>
        <w:spacing w:after="0" w:line="360" w:lineRule="auto"/>
        <w:ind w:firstLine="720"/>
        <w:rPr>
          <w:noProof/>
          <w:sz w:val="24"/>
          <w:szCs w:val="24"/>
          <w:lang w:eastAsia="en-GB"/>
        </w:rPr>
      </w:pPr>
      <w:r>
        <w:rPr>
          <w:noProof/>
          <w:sz w:val="24"/>
          <w:szCs w:val="24"/>
          <w:lang w:eastAsia="en-GB"/>
        </w:rPr>
        <w:t>A reflection on the work is shown below:</w:t>
      </w:r>
    </w:p>
    <w:tbl>
      <w:tblPr>
        <w:tblStyle w:val="TableGrid"/>
        <w:tblW w:w="0" w:type="auto"/>
        <w:tblLook w:val="04A0"/>
      </w:tblPr>
      <w:tblGrid>
        <w:gridCol w:w="1961"/>
        <w:gridCol w:w="3959"/>
        <w:gridCol w:w="3322"/>
      </w:tblGrid>
      <w:tr w:rsidR="0021664F" w:rsidTr="000C4007">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Pr="000D133F" w:rsidRDefault="0021664F" w:rsidP="000D133F">
            <w:pPr>
              <w:autoSpaceDE w:val="0"/>
              <w:autoSpaceDN w:val="0"/>
              <w:adjustRightInd w:val="0"/>
              <w:spacing w:after="0" w:line="240" w:lineRule="auto"/>
              <w:jc w:val="both"/>
              <w:rPr>
                <w:rFonts w:ascii="Calibri" w:hAnsi="Calibri" w:cs="Calibri"/>
                <w:b/>
                <w:color w:val="000000"/>
              </w:rPr>
            </w:pPr>
            <w:r w:rsidRPr="000D133F">
              <w:rPr>
                <w:rFonts w:ascii="Calibri" w:hAnsi="Calibri" w:cs="Calibri"/>
                <w:b/>
                <w:color w:val="000000"/>
              </w:rPr>
              <w:t>Construction</w:t>
            </w: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Pr="000D133F" w:rsidRDefault="0021664F" w:rsidP="000D133F">
            <w:pPr>
              <w:autoSpaceDE w:val="0"/>
              <w:autoSpaceDN w:val="0"/>
              <w:adjustRightInd w:val="0"/>
              <w:spacing w:after="0" w:line="240" w:lineRule="auto"/>
              <w:jc w:val="both"/>
              <w:rPr>
                <w:rFonts w:ascii="Calibri" w:hAnsi="Calibri" w:cs="Calibri"/>
                <w:b/>
                <w:color w:val="000000"/>
              </w:rPr>
            </w:pPr>
            <w:r w:rsidRPr="000D133F">
              <w:rPr>
                <w:rFonts w:ascii="Calibri" w:hAnsi="Calibri" w:cs="Calibri"/>
                <w:b/>
                <w:color w:val="000000"/>
              </w:rPr>
              <w:t>Main Musical Features</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Pr="000D133F" w:rsidRDefault="0021664F" w:rsidP="000C4007">
            <w:pPr>
              <w:autoSpaceDE w:val="0"/>
              <w:autoSpaceDN w:val="0"/>
              <w:adjustRightInd w:val="0"/>
              <w:rPr>
                <w:rFonts w:ascii="Calibri" w:hAnsi="Calibri" w:cs="Calibri"/>
                <w:b/>
                <w:color w:val="000000"/>
              </w:rPr>
            </w:pPr>
            <w:r w:rsidRPr="000D133F">
              <w:rPr>
                <w:rFonts w:ascii="Calibri" w:hAnsi="Calibri" w:cs="Calibri"/>
                <w:b/>
                <w:color w:val="000000"/>
              </w:rPr>
              <w:t>Descriptor (e.g. mystical,</w:t>
            </w:r>
            <w:r w:rsidR="00AE7084">
              <w:rPr>
                <w:rFonts w:ascii="Calibri" w:hAnsi="Calibri" w:cs="Calibri"/>
                <w:b/>
                <w:color w:val="000000"/>
              </w:rPr>
              <w:t xml:space="preserve"> emotional, whimsical, programmatic element</w:t>
            </w:r>
            <w:r w:rsidRPr="000D133F">
              <w:rPr>
                <w:rFonts w:ascii="Calibri" w:hAnsi="Calibri" w:cs="Calibri"/>
                <w:b/>
                <w:color w:val="000000"/>
              </w:rPr>
              <w:t>)</w:t>
            </w:r>
          </w:p>
        </w:tc>
      </w:tr>
      <w:tr w:rsidR="0021664F" w:rsidRPr="00411291" w:rsidTr="000C4007">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Default="0021664F" w:rsidP="000D133F">
            <w:pPr>
              <w:autoSpaceDE w:val="0"/>
              <w:autoSpaceDN w:val="0"/>
              <w:adjustRightInd w:val="0"/>
              <w:spacing w:after="0" w:line="240" w:lineRule="auto"/>
              <w:rPr>
                <w:rFonts w:ascii="Calibri" w:hAnsi="Calibri" w:cs="Calibri"/>
                <w:color w:val="000000"/>
              </w:rPr>
            </w:pPr>
            <w:r w:rsidRPr="00024899">
              <w:rPr>
                <w:rFonts w:ascii="Calibri" w:hAnsi="Calibri" w:cs="Calibri"/>
                <w:color w:val="000000"/>
              </w:rPr>
              <w:t>Setting (Introduction)</w:t>
            </w:r>
          </w:p>
          <w:p w:rsidR="0021664F" w:rsidRPr="00024899" w:rsidRDefault="0021664F" w:rsidP="000D133F">
            <w:pPr>
              <w:autoSpaceDE w:val="0"/>
              <w:autoSpaceDN w:val="0"/>
              <w:adjustRightInd w:val="0"/>
              <w:spacing w:after="0" w:line="240" w:lineRule="auto"/>
              <w:rPr>
                <w:rFonts w:ascii="Calibri" w:hAnsi="Calibri" w:cs="Calibri"/>
                <w:color w:val="000000"/>
              </w:rPr>
            </w:pPr>
            <w:r>
              <w:rPr>
                <w:rFonts w:ascii="Calibri" w:hAnsi="Calibri" w:cs="Calibri"/>
                <w:color w:val="000000"/>
              </w:rPr>
              <w:t>1.</w:t>
            </w: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3848" w:rsidRDefault="0021664F" w:rsidP="000D133F">
            <w:pPr>
              <w:autoSpaceDE w:val="0"/>
              <w:autoSpaceDN w:val="0"/>
              <w:adjustRightInd w:val="0"/>
              <w:spacing w:after="0" w:line="240" w:lineRule="auto"/>
              <w:jc w:val="both"/>
              <w:rPr>
                <w:rFonts w:ascii="Calibri" w:hAnsi="Calibri" w:cs="Calibri"/>
                <w:color w:val="000000"/>
                <w:u w:val="single"/>
              </w:rPr>
            </w:pPr>
            <w:r>
              <w:rPr>
                <w:rFonts w:ascii="Calibri" w:hAnsi="Calibri" w:cs="Calibri"/>
                <w:color w:val="000000"/>
                <w:u w:val="single"/>
              </w:rPr>
              <w:t>Overture</w:t>
            </w:r>
          </w:p>
          <w:p w:rsidR="0021664F" w:rsidRPr="00DE3848" w:rsidRDefault="0021664F" w:rsidP="004A24B6">
            <w:pPr>
              <w:autoSpaceDE w:val="0"/>
              <w:autoSpaceDN w:val="0"/>
              <w:adjustRightInd w:val="0"/>
              <w:spacing w:after="0" w:line="240" w:lineRule="auto"/>
              <w:rPr>
                <w:rFonts w:ascii="Calibri" w:hAnsi="Calibri" w:cs="Calibri"/>
                <w:color w:val="000000"/>
                <w:u w:val="single"/>
              </w:rPr>
            </w:pPr>
            <w:r>
              <w:rPr>
                <w:rFonts w:ascii="Calibri" w:hAnsi="Calibri" w:cs="Calibri"/>
                <w:color w:val="000000"/>
              </w:rPr>
              <w:t xml:space="preserve">Lively rhythms, main stately string theme (used throughout the work) with syncopated </w:t>
            </w:r>
            <w:proofErr w:type="spellStart"/>
            <w:r>
              <w:rPr>
                <w:rFonts w:ascii="Calibri" w:hAnsi="Calibri" w:cs="Calibri"/>
                <w:color w:val="000000"/>
              </w:rPr>
              <w:t>chordal</w:t>
            </w:r>
            <w:proofErr w:type="spellEnd"/>
            <w:r>
              <w:rPr>
                <w:rFonts w:ascii="Calibri" w:hAnsi="Calibri" w:cs="Calibri"/>
                <w:color w:val="000000"/>
              </w:rPr>
              <w:t xml:space="preserve"> accompaniment</w:t>
            </w:r>
            <w:r w:rsidR="007145B8">
              <w:rPr>
                <w:rFonts w:ascii="Calibri" w:hAnsi="Calibri" w:cs="Calibri"/>
                <w:color w:val="000000"/>
              </w:rPr>
              <w: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Pr="00726161" w:rsidRDefault="0021664F" w:rsidP="000C4007">
            <w:pPr>
              <w:autoSpaceDE w:val="0"/>
              <w:autoSpaceDN w:val="0"/>
              <w:adjustRightInd w:val="0"/>
              <w:rPr>
                <w:rFonts w:ascii="Calibri" w:hAnsi="Calibri" w:cs="Calibri"/>
                <w:color w:val="000000"/>
              </w:rPr>
            </w:pPr>
            <w:r>
              <w:rPr>
                <w:rFonts w:ascii="Calibri" w:hAnsi="Calibri" w:cs="Calibri"/>
                <w:color w:val="000000"/>
              </w:rPr>
              <w:t xml:space="preserve">Anticipation of Edwardian-styled incidental music, as with Elgar’s </w:t>
            </w:r>
            <w:r>
              <w:rPr>
                <w:rFonts w:ascii="Calibri" w:hAnsi="Calibri" w:cs="Calibri"/>
                <w:i/>
                <w:color w:val="000000"/>
              </w:rPr>
              <w:t>Starlight Express</w:t>
            </w:r>
            <w:r w:rsidR="007145B8">
              <w:rPr>
                <w:rFonts w:ascii="Calibri" w:hAnsi="Calibri" w:cs="Calibri"/>
                <w:color w:val="000000"/>
              </w:rPr>
              <w:t>, and the emotional ‘security</w:t>
            </w:r>
            <w:r>
              <w:rPr>
                <w:rFonts w:ascii="Calibri" w:hAnsi="Calibri" w:cs="Calibri"/>
                <w:color w:val="000000"/>
              </w:rPr>
              <w:t>’ which this brings</w:t>
            </w:r>
            <w:r w:rsidR="007145B8">
              <w:rPr>
                <w:rFonts w:ascii="Calibri" w:hAnsi="Calibri" w:cs="Calibri"/>
                <w:color w:val="000000"/>
              </w:rPr>
              <w:t>.</w:t>
            </w:r>
          </w:p>
        </w:tc>
      </w:tr>
      <w:tr w:rsidR="0021664F" w:rsidRPr="00411291" w:rsidTr="000C4007">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Default="0021664F" w:rsidP="000D133F">
            <w:pPr>
              <w:autoSpaceDE w:val="0"/>
              <w:autoSpaceDN w:val="0"/>
              <w:adjustRightInd w:val="0"/>
              <w:spacing w:after="0" w:line="240" w:lineRule="auto"/>
              <w:rPr>
                <w:rFonts w:ascii="Calibri" w:hAnsi="Calibri" w:cs="Calibri"/>
                <w:color w:val="000000"/>
              </w:rPr>
            </w:pPr>
            <w:r w:rsidRPr="00024899">
              <w:rPr>
                <w:rFonts w:ascii="Calibri" w:hAnsi="Calibri" w:cs="Calibri"/>
                <w:color w:val="000000"/>
              </w:rPr>
              <w:t>Action (Main Section)</w:t>
            </w:r>
          </w:p>
          <w:p w:rsidR="0021664F" w:rsidRPr="00024899" w:rsidRDefault="0021664F" w:rsidP="000D133F">
            <w:pPr>
              <w:autoSpaceDE w:val="0"/>
              <w:autoSpaceDN w:val="0"/>
              <w:adjustRightInd w:val="0"/>
              <w:spacing w:after="0" w:line="240" w:lineRule="auto"/>
              <w:rPr>
                <w:rFonts w:ascii="Calibri" w:hAnsi="Calibri" w:cs="Calibri"/>
                <w:color w:val="000000"/>
              </w:rPr>
            </w:pPr>
            <w:r>
              <w:rPr>
                <w:rFonts w:ascii="Calibri" w:hAnsi="Calibri" w:cs="Calibri"/>
                <w:color w:val="000000"/>
              </w:rPr>
              <w:t>2, 3, 4</w:t>
            </w: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64F" w:rsidRDefault="0021664F" w:rsidP="000D133F">
            <w:pPr>
              <w:autoSpaceDE w:val="0"/>
              <w:autoSpaceDN w:val="0"/>
              <w:adjustRightInd w:val="0"/>
              <w:spacing w:after="0" w:line="240" w:lineRule="auto"/>
              <w:jc w:val="both"/>
              <w:rPr>
                <w:rFonts w:ascii="Calibri" w:hAnsi="Calibri" w:cs="Calibri"/>
                <w:color w:val="000000"/>
                <w:u w:val="single"/>
              </w:rPr>
            </w:pPr>
            <w:r>
              <w:rPr>
                <w:rFonts w:ascii="Calibri" w:hAnsi="Calibri" w:cs="Calibri"/>
                <w:color w:val="000000"/>
                <w:u w:val="single"/>
              </w:rPr>
              <w:t>The Arrival</w:t>
            </w:r>
          </w:p>
          <w:p w:rsidR="0021664F" w:rsidRDefault="0021664F" w:rsidP="000D133F">
            <w:pPr>
              <w:autoSpaceDE w:val="0"/>
              <w:autoSpaceDN w:val="0"/>
              <w:adjustRightInd w:val="0"/>
              <w:spacing w:after="0" w:line="240" w:lineRule="auto"/>
              <w:rPr>
                <w:rFonts w:ascii="Calibri" w:hAnsi="Calibri" w:cs="Calibri"/>
                <w:color w:val="000000"/>
              </w:rPr>
            </w:pPr>
            <w:r>
              <w:rPr>
                <w:rFonts w:ascii="Calibri" w:hAnsi="Calibri" w:cs="Calibri"/>
                <w:i/>
                <w:color w:val="000000"/>
              </w:rPr>
              <w:t xml:space="preserve">Lento e dolce </w:t>
            </w:r>
            <w:r w:rsidRPr="009B6764">
              <w:rPr>
                <w:rFonts w:ascii="Calibri" w:hAnsi="Calibri" w:cs="Calibri"/>
                <w:color w:val="000000"/>
              </w:rPr>
              <w:t>string writing, gentle melodic contours, harmony and rhythms</w:t>
            </w:r>
            <w:r>
              <w:rPr>
                <w:rFonts w:ascii="Calibri" w:hAnsi="Calibri" w:cs="Calibri"/>
                <w:color w:val="000000"/>
              </w:rPr>
              <w:t xml:space="preserve">; flute melody (sequential and repeating) with climax; harp </w:t>
            </w:r>
            <w:proofErr w:type="spellStart"/>
            <w:r>
              <w:rPr>
                <w:rFonts w:ascii="Calibri" w:hAnsi="Calibri" w:cs="Calibri"/>
                <w:color w:val="000000"/>
              </w:rPr>
              <w:t>appegiation</w:t>
            </w:r>
            <w:proofErr w:type="spellEnd"/>
            <w:r>
              <w:rPr>
                <w:rFonts w:ascii="Calibri" w:hAnsi="Calibri" w:cs="Calibri"/>
                <w:color w:val="000000"/>
              </w:rPr>
              <w:t>.</w:t>
            </w:r>
          </w:p>
          <w:p w:rsidR="0021664F" w:rsidRDefault="0021664F" w:rsidP="000D133F">
            <w:p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Butcher, Baker and Candlestick Maker</w:t>
            </w:r>
          </w:p>
          <w:p w:rsidR="0021664F" w:rsidRDefault="0021664F" w:rsidP="000D133F">
            <w:pPr>
              <w:autoSpaceDE w:val="0"/>
              <w:autoSpaceDN w:val="0"/>
              <w:adjustRightInd w:val="0"/>
              <w:spacing w:after="0" w:line="240" w:lineRule="auto"/>
              <w:rPr>
                <w:rFonts w:ascii="Calibri" w:hAnsi="Calibri" w:cs="Calibri"/>
                <w:color w:val="000000"/>
              </w:rPr>
            </w:pPr>
            <w:r>
              <w:rPr>
                <w:rFonts w:ascii="Calibri" w:hAnsi="Calibri" w:cs="Calibri"/>
                <w:i/>
                <w:color w:val="000000"/>
              </w:rPr>
              <w:t xml:space="preserve">Allegro </w:t>
            </w:r>
            <w:proofErr w:type="spellStart"/>
            <w:r>
              <w:rPr>
                <w:rFonts w:ascii="Calibri" w:hAnsi="Calibri" w:cs="Calibri"/>
                <w:i/>
                <w:color w:val="000000"/>
              </w:rPr>
              <w:t>risulto</w:t>
            </w:r>
            <w:proofErr w:type="spellEnd"/>
            <w:r>
              <w:rPr>
                <w:rFonts w:ascii="Calibri" w:hAnsi="Calibri" w:cs="Calibri"/>
                <w:i/>
                <w:color w:val="000000"/>
              </w:rPr>
              <w:t xml:space="preserve"> </w:t>
            </w:r>
            <w:r>
              <w:rPr>
                <w:rFonts w:ascii="Calibri" w:hAnsi="Calibri" w:cs="Calibri"/>
                <w:color w:val="000000"/>
              </w:rPr>
              <w:t>strong m</w:t>
            </w:r>
            <w:r w:rsidRPr="009B6764">
              <w:rPr>
                <w:rFonts w:ascii="Calibri" w:hAnsi="Calibri" w:cs="Calibri"/>
                <w:color w:val="000000"/>
              </w:rPr>
              <w:t>ain theme</w:t>
            </w:r>
            <w:r>
              <w:rPr>
                <w:rFonts w:ascii="Calibri" w:hAnsi="Calibri" w:cs="Calibri"/>
                <w:color w:val="000000"/>
              </w:rPr>
              <w:t>, as above; more gentle clarinet theme, trumpet theme; return of main theme.</w:t>
            </w:r>
          </w:p>
          <w:p w:rsidR="0021664F" w:rsidRDefault="0021664F" w:rsidP="000D133F">
            <w:p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Scherzo: The Snow Tea</w:t>
            </w:r>
          </w:p>
          <w:p w:rsidR="0021664F" w:rsidRPr="00024899" w:rsidRDefault="0021664F" w:rsidP="000D133F">
            <w:pPr>
              <w:autoSpaceDE w:val="0"/>
              <w:autoSpaceDN w:val="0"/>
              <w:adjustRightInd w:val="0"/>
              <w:spacing w:after="0" w:line="240" w:lineRule="auto"/>
              <w:rPr>
                <w:rFonts w:ascii="Calibri" w:hAnsi="Calibri" w:cs="Calibri"/>
                <w:color w:val="000000"/>
                <w:u w:val="single"/>
              </w:rPr>
            </w:pPr>
            <w:proofErr w:type="spellStart"/>
            <w:r>
              <w:rPr>
                <w:rFonts w:ascii="Calibri" w:hAnsi="Calibri" w:cs="Calibri"/>
                <w:i/>
                <w:color w:val="000000"/>
              </w:rPr>
              <w:t>Vivace</w:t>
            </w:r>
            <w:proofErr w:type="spellEnd"/>
            <w:r>
              <w:rPr>
                <w:rFonts w:ascii="Calibri" w:hAnsi="Calibri" w:cs="Calibri"/>
                <w:i/>
                <w:color w:val="000000"/>
              </w:rPr>
              <w:t xml:space="preserve"> e </w:t>
            </w:r>
            <w:proofErr w:type="spellStart"/>
            <w:r>
              <w:rPr>
                <w:rFonts w:ascii="Calibri" w:hAnsi="Calibri" w:cs="Calibri"/>
                <w:i/>
                <w:color w:val="000000"/>
              </w:rPr>
              <w:t>leggeriero</w:t>
            </w:r>
            <w:proofErr w:type="spellEnd"/>
            <w:r>
              <w:rPr>
                <w:rFonts w:ascii="Calibri" w:hAnsi="Calibri" w:cs="Calibri"/>
                <w:i/>
                <w:color w:val="000000"/>
              </w:rPr>
              <w:t xml:space="preserve"> </w:t>
            </w:r>
            <w:r>
              <w:rPr>
                <w:rFonts w:ascii="Calibri" w:hAnsi="Calibri" w:cs="Calibri"/>
                <w:color w:val="000000"/>
              </w:rPr>
              <w:t>woodwind</w:t>
            </w:r>
            <w:r w:rsidRPr="00097515">
              <w:rPr>
                <w:rFonts w:ascii="Calibri" w:hAnsi="Calibri" w:cs="Calibri"/>
                <w:color w:val="000000"/>
              </w:rPr>
              <w:t xml:space="preserve"> theme with pizzicato string accompaniment;</w:t>
            </w:r>
            <w:r>
              <w:rPr>
                <w:rFonts w:ascii="Calibri" w:hAnsi="Calibri" w:cs="Calibri"/>
                <w:color w:val="000000"/>
              </w:rPr>
              <w:t xml:space="preserve"> decorative flute figuration; crescendo/ diminuendo contrasting material</w:t>
            </w:r>
            <w:r w:rsidR="007145B8">
              <w:rPr>
                <w:rFonts w:ascii="Calibri" w:hAnsi="Calibri" w:cs="Calibri"/>
                <w:color w:val="000000"/>
              </w:rPr>
              <w: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33F" w:rsidRDefault="0021664F" w:rsidP="000C4007">
            <w:pPr>
              <w:autoSpaceDE w:val="0"/>
              <w:autoSpaceDN w:val="0"/>
              <w:adjustRightInd w:val="0"/>
              <w:rPr>
                <w:rFonts w:ascii="Calibri" w:hAnsi="Calibri" w:cs="Calibri"/>
                <w:color w:val="000000"/>
              </w:rPr>
            </w:pPr>
            <w:r>
              <w:rPr>
                <w:rFonts w:ascii="Calibri" w:hAnsi="Calibri" w:cs="Calibri"/>
                <w:color w:val="000000"/>
              </w:rPr>
              <w:t>Depiction of the children arriving at the stately house, alone, for Christmas; the suggestion of fairy music.</w:t>
            </w:r>
          </w:p>
          <w:p w:rsidR="0021664F" w:rsidRDefault="0021664F" w:rsidP="000C4007">
            <w:pPr>
              <w:autoSpaceDE w:val="0"/>
              <w:autoSpaceDN w:val="0"/>
              <w:adjustRightInd w:val="0"/>
              <w:rPr>
                <w:rFonts w:ascii="Calibri" w:hAnsi="Calibri" w:cs="Calibri"/>
                <w:color w:val="000000"/>
              </w:rPr>
            </w:pPr>
            <w:r>
              <w:rPr>
                <w:rFonts w:ascii="Calibri" w:hAnsi="Calibri" w:cs="Calibri"/>
                <w:color w:val="000000"/>
              </w:rPr>
              <w:t>Arrival of the individual characters; dancing.</w:t>
            </w:r>
          </w:p>
          <w:p w:rsidR="000D133F" w:rsidRDefault="000D133F" w:rsidP="000C4007">
            <w:pPr>
              <w:autoSpaceDE w:val="0"/>
              <w:autoSpaceDN w:val="0"/>
              <w:adjustRightInd w:val="0"/>
              <w:rPr>
                <w:rFonts w:ascii="Calibri" w:hAnsi="Calibri" w:cs="Calibri"/>
                <w:color w:val="000000"/>
              </w:rPr>
            </w:pPr>
          </w:p>
          <w:p w:rsidR="0021664F" w:rsidRPr="00024899" w:rsidRDefault="0021664F" w:rsidP="000C4007">
            <w:pPr>
              <w:autoSpaceDE w:val="0"/>
              <w:autoSpaceDN w:val="0"/>
              <w:adjustRightInd w:val="0"/>
              <w:rPr>
                <w:rFonts w:ascii="Calibri" w:hAnsi="Calibri" w:cs="Calibri"/>
                <w:color w:val="000000"/>
              </w:rPr>
            </w:pPr>
            <w:r>
              <w:rPr>
                <w:rFonts w:ascii="Calibri" w:hAnsi="Calibri" w:cs="Calibri"/>
                <w:color w:val="000000"/>
              </w:rPr>
              <w:t>The tea-party with action.</w:t>
            </w:r>
          </w:p>
        </w:tc>
      </w:tr>
      <w:tr w:rsidR="0021664F" w:rsidRPr="00411291" w:rsidTr="000C4007">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64F" w:rsidRDefault="0021664F" w:rsidP="000D133F">
            <w:pPr>
              <w:autoSpaceDE w:val="0"/>
              <w:autoSpaceDN w:val="0"/>
              <w:adjustRightInd w:val="0"/>
              <w:spacing w:after="0" w:line="240" w:lineRule="auto"/>
              <w:rPr>
                <w:rFonts w:ascii="Calibri" w:hAnsi="Calibri" w:cs="Calibri"/>
                <w:color w:val="000000"/>
              </w:rPr>
            </w:pPr>
            <w:r w:rsidRPr="00024899">
              <w:rPr>
                <w:rFonts w:ascii="Calibri" w:hAnsi="Calibri" w:cs="Calibri"/>
                <w:color w:val="000000"/>
              </w:rPr>
              <w:t>Conclusion (Coda, Codetta)</w:t>
            </w:r>
          </w:p>
          <w:p w:rsidR="0021664F" w:rsidRPr="00024899" w:rsidRDefault="0021664F" w:rsidP="000D133F">
            <w:pPr>
              <w:autoSpaceDE w:val="0"/>
              <w:autoSpaceDN w:val="0"/>
              <w:adjustRightInd w:val="0"/>
              <w:spacing w:after="0" w:line="240" w:lineRule="auto"/>
              <w:jc w:val="both"/>
              <w:rPr>
                <w:rFonts w:ascii="Calibri" w:hAnsi="Calibri" w:cs="Calibri"/>
                <w:color w:val="000000"/>
              </w:rPr>
            </w:pPr>
            <w:r>
              <w:rPr>
                <w:rFonts w:ascii="Calibri" w:hAnsi="Calibri" w:cs="Calibri"/>
                <w:color w:val="000000"/>
              </w:rPr>
              <w:t>5</w:t>
            </w:r>
          </w:p>
        </w:tc>
        <w:tc>
          <w:tcPr>
            <w:tcW w:w="3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64F" w:rsidRDefault="0021664F" w:rsidP="000D133F">
            <w:pPr>
              <w:autoSpaceDE w:val="0"/>
              <w:autoSpaceDN w:val="0"/>
              <w:adjustRightInd w:val="0"/>
              <w:spacing w:after="0" w:line="240" w:lineRule="auto"/>
              <w:jc w:val="both"/>
              <w:rPr>
                <w:rFonts w:ascii="Calibri" w:hAnsi="Calibri" w:cs="Calibri"/>
                <w:color w:val="000000"/>
                <w:u w:val="single"/>
              </w:rPr>
            </w:pPr>
            <w:r>
              <w:rPr>
                <w:rFonts w:ascii="Calibri" w:hAnsi="Calibri" w:cs="Calibri"/>
                <w:color w:val="000000"/>
                <w:u w:val="single"/>
              </w:rPr>
              <w:t>Christmas Eve</w:t>
            </w:r>
          </w:p>
          <w:p w:rsidR="0021664F" w:rsidRPr="00E539F1" w:rsidRDefault="0021664F" w:rsidP="000D133F">
            <w:pPr>
              <w:autoSpaceDE w:val="0"/>
              <w:autoSpaceDN w:val="0"/>
              <w:adjustRightInd w:val="0"/>
              <w:spacing w:after="0" w:line="240" w:lineRule="auto"/>
              <w:rPr>
                <w:rFonts w:ascii="Calibri" w:hAnsi="Calibri" w:cs="Calibri"/>
                <w:i/>
                <w:color w:val="000000"/>
              </w:rPr>
            </w:pPr>
            <w:r>
              <w:rPr>
                <w:rFonts w:ascii="Calibri" w:hAnsi="Calibri" w:cs="Calibri"/>
                <w:i/>
                <w:color w:val="000000"/>
              </w:rPr>
              <w:t xml:space="preserve">Allegro con </w:t>
            </w:r>
            <w:proofErr w:type="spellStart"/>
            <w:r>
              <w:rPr>
                <w:rFonts w:ascii="Calibri" w:hAnsi="Calibri" w:cs="Calibri"/>
                <w:i/>
                <w:color w:val="000000"/>
              </w:rPr>
              <w:t>moto</w:t>
            </w:r>
            <w:proofErr w:type="spellEnd"/>
            <w:r>
              <w:rPr>
                <w:rFonts w:ascii="Calibri" w:hAnsi="Calibri" w:cs="Calibri"/>
                <w:i/>
                <w:color w:val="000000"/>
              </w:rPr>
              <w:t xml:space="preserve"> </w:t>
            </w:r>
            <w:r>
              <w:rPr>
                <w:rFonts w:ascii="Calibri" w:hAnsi="Calibri" w:cs="Calibri"/>
                <w:color w:val="000000"/>
              </w:rPr>
              <w:t xml:space="preserve">dance-like theme in duple compound/triple time; trumpet theme looking to the future; pizzicato strings; return to the main opening theme + ‘The First </w:t>
            </w:r>
            <w:proofErr w:type="spellStart"/>
            <w:r>
              <w:rPr>
                <w:rFonts w:ascii="Calibri" w:hAnsi="Calibri" w:cs="Calibri"/>
                <w:color w:val="000000"/>
              </w:rPr>
              <w:t>Nowell</w:t>
            </w:r>
            <w:proofErr w:type="spellEnd"/>
            <w:r>
              <w:rPr>
                <w:rFonts w:ascii="Calibri" w:hAnsi="Calibri" w:cs="Calibri"/>
                <w:color w:val="000000"/>
              </w:rPr>
              <w:t>’ reference; crescendo with timpani; main theme in rhythmic aug</w:t>
            </w:r>
            <w:r w:rsidR="007145B8">
              <w:rPr>
                <w:rFonts w:ascii="Calibri" w:hAnsi="Calibri" w:cs="Calibri"/>
                <w:color w:val="000000"/>
              </w:rPr>
              <w:t>mentation; bell-like figuration</w:t>
            </w:r>
            <w:r>
              <w:rPr>
                <w:rFonts w:ascii="Calibri" w:hAnsi="Calibri" w:cs="Calibri"/>
                <w:color w:val="000000"/>
              </w:rPr>
              <w:t xml:space="preserve"> in pizzicato strings.</w:t>
            </w:r>
            <w:r>
              <w:rPr>
                <w:rFonts w:ascii="Calibri" w:hAnsi="Calibri" w:cs="Calibri"/>
                <w:i/>
                <w:color w:val="000000"/>
              </w:rPr>
              <w:t xml:space="preserve"> </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64F" w:rsidRPr="00024899" w:rsidRDefault="0021664F" w:rsidP="000C4007">
            <w:pPr>
              <w:autoSpaceDE w:val="0"/>
              <w:autoSpaceDN w:val="0"/>
              <w:adjustRightInd w:val="0"/>
              <w:rPr>
                <w:rFonts w:ascii="Calibri" w:hAnsi="Calibri" w:cs="Calibri"/>
                <w:color w:val="000000"/>
              </w:rPr>
            </w:pPr>
            <w:r>
              <w:rPr>
                <w:rFonts w:ascii="Calibri" w:hAnsi="Calibri" w:cs="Calibri"/>
                <w:color w:val="000000"/>
              </w:rPr>
              <w:t>Programme conclusion of happiness in Anne’s arrival.</w:t>
            </w:r>
          </w:p>
        </w:tc>
      </w:tr>
    </w:tbl>
    <w:p w:rsidR="0021664F" w:rsidRDefault="0021664F" w:rsidP="0021664F">
      <w:pPr>
        <w:rPr>
          <w:sz w:val="24"/>
          <w:szCs w:val="24"/>
        </w:rPr>
      </w:pPr>
    </w:p>
    <w:p w:rsidR="00BF0596" w:rsidRDefault="00FE2A43" w:rsidP="0021664F">
      <w:pPr>
        <w:spacing w:after="0" w:line="240" w:lineRule="auto"/>
        <w:rPr>
          <w:b/>
          <w:sz w:val="24"/>
          <w:szCs w:val="24"/>
        </w:rPr>
      </w:pPr>
      <w:r>
        <w:rPr>
          <w:b/>
          <w:sz w:val="24"/>
          <w:szCs w:val="24"/>
        </w:rPr>
        <w:tab/>
      </w:r>
    </w:p>
    <w:p w:rsidR="00BF0596" w:rsidRDefault="00BF0596" w:rsidP="0021664F">
      <w:pPr>
        <w:spacing w:after="0" w:line="240" w:lineRule="auto"/>
        <w:rPr>
          <w:b/>
          <w:sz w:val="24"/>
          <w:szCs w:val="24"/>
        </w:rPr>
      </w:pPr>
    </w:p>
    <w:p w:rsidR="00BF0596" w:rsidRDefault="00BF0596" w:rsidP="0021664F">
      <w:pPr>
        <w:spacing w:after="0" w:line="240" w:lineRule="auto"/>
        <w:rPr>
          <w:b/>
          <w:sz w:val="24"/>
          <w:szCs w:val="24"/>
        </w:rPr>
      </w:pPr>
    </w:p>
    <w:p w:rsidR="0021664F" w:rsidRDefault="00FE2A43" w:rsidP="00BF0596">
      <w:pPr>
        <w:spacing w:after="0" w:line="240" w:lineRule="auto"/>
        <w:ind w:firstLine="720"/>
        <w:rPr>
          <w:sz w:val="24"/>
          <w:szCs w:val="24"/>
        </w:rPr>
      </w:pPr>
      <w:r w:rsidRPr="00FE2A43">
        <w:rPr>
          <w:sz w:val="24"/>
          <w:szCs w:val="24"/>
        </w:rPr>
        <w:lastRenderedPageBreak/>
        <w:t xml:space="preserve">In </w:t>
      </w:r>
      <w:r>
        <w:rPr>
          <w:sz w:val="24"/>
          <w:szCs w:val="24"/>
        </w:rPr>
        <w:t xml:space="preserve">short, this work employs such features as fragmentary melodic and rhythmic phrases which point to a more ‘progressive’ form of English writing, </w:t>
      </w:r>
      <w:r w:rsidR="003C1675">
        <w:rPr>
          <w:sz w:val="24"/>
          <w:szCs w:val="24"/>
        </w:rPr>
        <w:t>in addition to</w:t>
      </w:r>
      <w:r w:rsidR="00AE7084">
        <w:rPr>
          <w:sz w:val="24"/>
          <w:szCs w:val="24"/>
        </w:rPr>
        <w:t xml:space="preserve"> one fine</w:t>
      </w:r>
      <w:r>
        <w:rPr>
          <w:sz w:val="24"/>
          <w:szCs w:val="24"/>
        </w:rPr>
        <w:t xml:space="preserve"> and Romantic theme created through gentle contours,</w:t>
      </w:r>
      <w:r w:rsidR="004A24B6">
        <w:rPr>
          <w:sz w:val="24"/>
          <w:szCs w:val="24"/>
        </w:rPr>
        <w:t xml:space="preserve"> all amidst gentle tonality </w:t>
      </w:r>
      <w:r w:rsidR="00AE7084">
        <w:rPr>
          <w:sz w:val="24"/>
          <w:szCs w:val="24"/>
        </w:rPr>
        <w:t xml:space="preserve">with </w:t>
      </w:r>
      <w:r w:rsidR="004A24B6">
        <w:rPr>
          <w:sz w:val="24"/>
          <w:szCs w:val="24"/>
        </w:rPr>
        <w:t xml:space="preserve">modulations. </w:t>
      </w:r>
    </w:p>
    <w:p w:rsidR="00BF0596" w:rsidRDefault="00BF0596" w:rsidP="00BF0596">
      <w:pPr>
        <w:spacing w:after="0" w:line="240" w:lineRule="auto"/>
        <w:rPr>
          <w:sz w:val="24"/>
          <w:szCs w:val="24"/>
        </w:rPr>
      </w:pPr>
    </w:p>
    <w:p w:rsidR="00BF0596" w:rsidRPr="00FE2A43" w:rsidRDefault="00BF0596" w:rsidP="00BF0596">
      <w:pPr>
        <w:spacing w:after="0" w:line="240" w:lineRule="auto"/>
        <w:rPr>
          <w:sz w:val="24"/>
          <w:szCs w:val="24"/>
        </w:rPr>
      </w:pPr>
      <w:r>
        <w:rPr>
          <w:rFonts w:cstheme="minorHAnsi"/>
          <w:sz w:val="24"/>
          <w:szCs w:val="24"/>
        </w:rPr>
        <w:t>©</w:t>
      </w:r>
      <w:r>
        <w:rPr>
          <w:sz w:val="24"/>
          <w:szCs w:val="24"/>
        </w:rPr>
        <w:t xml:space="preserve"> Peter Hunter, 2021</w:t>
      </w:r>
    </w:p>
    <w:p w:rsidR="0021664F" w:rsidRDefault="0021664F" w:rsidP="0021664F">
      <w:pPr>
        <w:spacing w:after="0" w:line="240" w:lineRule="auto"/>
        <w:rPr>
          <w:b/>
          <w:sz w:val="24"/>
          <w:szCs w:val="24"/>
        </w:rPr>
      </w:pPr>
    </w:p>
    <w:p w:rsidR="0021664F" w:rsidRDefault="0021664F" w:rsidP="0021664F">
      <w:pPr>
        <w:spacing w:after="0" w:line="240" w:lineRule="auto"/>
        <w:rPr>
          <w:b/>
          <w:sz w:val="24"/>
          <w:szCs w:val="24"/>
        </w:rPr>
      </w:pPr>
    </w:p>
    <w:p w:rsidR="00501F25" w:rsidRDefault="00501F25"/>
    <w:sectPr w:rsidR="00501F25" w:rsidSect="00501F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33F" w:rsidRDefault="000D133F" w:rsidP="000D133F">
      <w:pPr>
        <w:spacing w:after="0" w:line="240" w:lineRule="auto"/>
      </w:pPr>
      <w:r>
        <w:separator/>
      </w:r>
    </w:p>
  </w:endnote>
  <w:endnote w:type="continuationSeparator" w:id="1">
    <w:p w:rsidR="000D133F" w:rsidRDefault="000D133F" w:rsidP="000D1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Default="000D1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86376"/>
      <w:docPartObj>
        <w:docPartGallery w:val="Page Numbers (Bottom of Page)"/>
        <w:docPartUnique/>
      </w:docPartObj>
    </w:sdtPr>
    <w:sdtContent>
      <w:p w:rsidR="000D133F" w:rsidRDefault="00856EA5">
        <w:pPr>
          <w:pStyle w:val="Footer"/>
          <w:jc w:val="center"/>
        </w:pPr>
        <w:r>
          <w:fldChar w:fldCharType="begin"/>
        </w:r>
        <w:r w:rsidR="000D133F">
          <w:instrText xml:space="preserve"> PAGE   \* MERGEFORMAT </w:instrText>
        </w:r>
        <w:r>
          <w:fldChar w:fldCharType="separate"/>
        </w:r>
        <w:r w:rsidR="00BF0596">
          <w:rPr>
            <w:noProof/>
          </w:rPr>
          <w:t>5</w:t>
        </w:r>
        <w:r>
          <w:fldChar w:fldCharType="end"/>
        </w:r>
      </w:p>
    </w:sdtContent>
  </w:sdt>
  <w:p w:rsidR="000D133F" w:rsidRDefault="000D13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Default="000D1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33F" w:rsidRDefault="000D133F" w:rsidP="000D133F">
      <w:pPr>
        <w:spacing w:after="0" w:line="240" w:lineRule="auto"/>
      </w:pPr>
      <w:r>
        <w:separator/>
      </w:r>
    </w:p>
  </w:footnote>
  <w:footnote w:type="continuationSeparator" w:id="1">
    <w:p w:rsidR="000D133F" w:rsidRDefault="000D133F" w:rsidP="000D133F">
      <w:pPr>
        <w:spacing w:after="0" w:line="240" w:lineRule="auto"/>
      </w:pPr>
      <w:r>
        <w:continuationSeparator/>
      </w:r>
    </w:p>
  </w:footnote>
  <w:footnote w:id="2">
    <w:p w:rsidR="004622B1" w:rsidRDefault="004622B1">
      <w:pPr>
        <w:pStyle w:val="FootnoteText"/>
      </w:pPr>
      <w:r>
        <w:rPr>
          <w:rStyle w:val="FootnoteReference"/>
        </w:rPr>
        <w:footnoteRef/>
      </w:r>
      <w:r>
        <w:t xml:space="preserve"> </w:t>
      </w:r>
      <w:r w:rsidR="00157EE9">
        <w:rPr>
          <w:i/>
        </w:rPr>
        <w:t xml:space="preserve">Cecil Armstrong Gibbs </w:t>
      </w:r>
      <w:r w:rsidR="00157EE9">
        <w:t>CD, Dutton Epoch,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Default="000D1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Default="000D1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Default="000D1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21664F"/>
    <w:rsid w:val="000D133F"/>
    <w:rsid w:val="00157EE9"/>
    <w:rsid w:val="0021664F"/>
    <w:rsid w:val="002C58BB"/>
    <w:rsid w:val="003C1675"/>
    <w:rsid w:val="004622B1"/>
    <w:rsid w:val="004A24B6"/>
    <w:rsid w:val="00501F25"/>
    <w:rsid w:val="005F0FEA"/>
    <w:rsid w:val="006F3000"/>
    <w:rsid w:val="007145B8"/>
    <w:rsid w:val="00781E61"/>
    <w:rsid w:val="00856EA5"/>
    <w:rsid w:val="00AE7084"/>
    <w:rsid w:val="00BF0596"/>
    <w:rsid w:val="00C7403E"/>
    <w:rsid w:val="00CB4190"/>
    <w:rsid w:val="00D87B7E"/>
    <w:rsid w:val="00DE3848"/>
    <w:rsid w:val="00E72023"/>
    <w:rsid w:val="00F83EB0"/>
    <w:rsid w:val="00FE2A43"/>
    <w:rsid w:val="00FF7A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6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6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4F"/>
    <w:rPr>
      <w:rFonts w:ascii="Tahoma" w:hAnsi="Tahoma" w:cs="Tahoma"/>
      <w:sz w:val="16"/>
      <w:szCs w:val="16"/>
    </w:rPr>
  </w:style>
  <w:style w:type="paragraph" w:styleId="Header">
    <w:name w:val="header"/>
    <w:basedOn w:val="Normal"/>
    <w:link w:val="HeaderChar"/>
    <w:uiPriority w:val="99"/>
    <w:semiHidden/>
    <w:unhideWhenUsed/>
    <w:rsid w:val="000D13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133F"/>
  </w:style>
  <w:style w:type="paragraph" w:styleId="Footer">
    <w:name w:val="footer"/>
    <w:basedOn w:val="Normal"/>
    <w:link w:val="FooterChar"/>
    <w:uiPriority w:val="99"/>
    <w:unhideWhenUsed/>
    <w:rsid w:val="000D1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3F"/>
  </w:style>
  <w:style w:type="paragraph" w:styleId="FootnoteText">
    <w:name w:val="footnote text"/>
    <w:basedOn w:val="Normal"/>
    <w:link w:val="FootnoteTextChar"/>
    <w:uiPriority w:val="99"/>
    <w:semiHidden/>
    <w:unhideWhenUsed/>
    <w:rsid w:val="0046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2B1"/>
    <w:rPr>
      <w:sz w:val="20"/>
      <w:szCs w:val="20"/>
    </w:rPr>
  </w:style>
  <w:style w:type="character" w:styleId="FootnoteReference">
    <w:name w:val="footnote reference"/>
    <w:basedOn w:val="DefaultParagraphFont"/>
    <w:uiPriority w:val="99"/>
    <w:semiHidden/>
    <w:unhideWhenUsed/>
    <w:rsid w:val="004622B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B9DF-FC91-4611-A802-13CB6450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Hunter</dc:creator>
  <cp:lastModifiedBy>Peter Hunter</cp:lastModifiedBy>
  <cp:revision>16</cp:revision>
  <cp:lastPrinted>2021-12-01T21:33:00Z</cp:lastPrinted>
  <dcterms:created xsi:type="dcterms:W3CDTF">2021-12-01T21:06:00Z</dcterms:created>
  <dcterms:modified xsi:type="dcterms:W3CDTF">2022-01-04T21:50:00Z</dcterms:modified>
</cp:coreProperties>
</file>